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12"/>
        <w:jc w:val="right"/>
        <w:spacing w:after="0"/>
        <w:rPr>
          <w:b/>
          <w:bCs/>
          <w:lang w:val="ru-RU"/>
        </w:rPr>
      </w:pPr>
      <w:r/>
      <w:bookmarkStart w:id="0" w:name="_Hlk170683769"/>
      <w:r/>
      <w:bookmarkStart w:id="1" w:name="_Hlk486740650"/>
      <w:r/>
      <w:bookmarkStart w:id="2" w:name="_Hlk170701382"/>
      <w:r>
        <w:rPr>
          <w:b/>
          <w:lang w:val="ru-RU"/>
        </w:rPr>
        <w:t xml:space="preserve">Приложение</w:t>
      </w:r>
      <w:r>
        <w:rPr>
          <w:b/>
          <w:lang w:val="ru-RU"/>
        </w:rPr>
        <w:t xml:space="preserve"> №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.3</w:t>
      </w:r>
      <w:r>
        <w:rPr>
          <w:bCs/>
          <w:sz w:val="20"/>
          <w:szCs w:val="20"/>
          <w:lang w:val="ru-RU"/>
        </w:rPr>
      </w:r>
    </w:p>
    <w:p>
      <w:pPr>
        <w:ind w:left="1587"/>
        <w:jc w:val="right"/>
        <w:spacing w:before="17" w:beforeAutospacing="0" w:after="0"/>
        <w:rPr>
          <w:sz w:val="20"/>
          <w:szCs w:val="20"/>
          <w:lang w:val="ru-RU"/>
        </w:rPr>
        <w:suppressLineNumbers w:val="0"/>
      </w:pPr>
      <w:r>
        <w:rPr>
          <w:bCs/>
          <w:sz w:val="18"/>
          <w:szCs w:val="18"/>
          <w:lang w:val="ru-RU"/>
        </w:rPr>
        <w:t xml:space="preserve">к Положению о материальной помощи и других формах социальной поддержки членов Профсоюза Первичной профсоюзной организации Банка ВТБ (ПАО) МГО ПРГУ РФ, утв. постановлением Комитета ППО Банка ВТБ (ПАО) от 26.06.2024 № 9-1 (с изм. от 12.05.2025 № 8-4)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          </w:t>
      </w:r>
      <w:r>
        <w:rPr>
          <w:bCs/>
          <w:sz w:val="20"/>
          <w:szCs w:val="20"/>
          <w:lang w:val="ru-RU"/>
        </w:rPr>
      </w:r>
      <w:r/>
    </w:p>
    <w:p>
      <w:pPr>
        <w:jc w:val="center"/>
        <w:spacing w:before="255" w:beforeAutospacing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«Заявление члена Профсоюза на получение частичной компенсации на социально значимой услуги»</w:t>
      </w:r>
      <w:r>
        <w:rPr>
          <w:bCs/>
          <w:sz w:val="20"/>
          <w:szCs w:val="20"/>
          <w:lang w:val="ru-RU"/>
        </w:rPr>
      </w:r>
    </w:p>
    <w:p>
      <w:pPr>
        <w:jc w:val="right"/>
        <w:spacing w:before="360" w:after="0" w:line="276" w:lineRule="auto"/>
        <w:rPr>
          <w:rFonts w:eastAsia="Calibri"/>
          <w:b/>
          <w:bCs/>
          <w:sz w:val="20"/>
          <w:szCs w:val="20"/>
          <w:lang w:val="ru-RU"/>
        </w:rPr>
      </w:pPr>
      <w:r>
        <w:rPr>
          <w:rFonts w:eastAsia="Calibri"/>
          <w:b/>
          <w:bCs/>
          <w:sz w:val="20"/>
          <w:szCs w:val="20"/>
          <w:lang w:val="ru-RU"/>
        </w:rPr>
        <w:t xml:space="preserve">В Комитет Первичной профсоюзной организации </w:t>
      </w:r>
      <w:r>
        <w:rPr>
          <w:rFonts w:eastAsia="Calibri"/>
          <w:b/>
          <w:bCs/>
          <w:sz w:val="20"/>
          <w:szCs w:val="20"/>
          <w:lang w:val="ru-RU"/>
        </w:rPr>
        <w:t xml:space="preserve">Банка ВТБ</w:t>
      </w:r>
      <w:r/>
      <w:r>
        <w:rPr>
          <w:rFonts w:eastAsia="Calibri"/>
          <w:b/>
          <w:bCs/>
          <w:sz w:val="20"/>
          <w:szCs w:val="20"/>
          <w:lang w:val="ru-RU"/>
        </w:rPr>
      </w:r>
    </w:p>
    <w:p>
      <w:pPr>
        <w:jc w:val="right"/>
        <w:spacing w:before="0" w:after="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</w:p>
    <w:tbl>
      <w:tblPr>
        <w:tblW w:w="9463" w:type="dxa"/>
        <w:tblInd w:w="713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34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         </w:t>
            </w:r>
            <w:r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О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т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val="ru-RU"/>
              </w:rPr>
            </w:pPr>
            <w:r/>
            <w:bookmarkStart w:id="3" w:name="_Hlk89184918"/>
            <w:r/>
            <w:bookmarkEnd w:id="3"/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ind w:left="0"/>
        <w:jc w:val="left"/>
        <w:spacing w:before="0" w:line="276" w:lineRule="auto"/>
        <w:rPr>
          <w:rFonts w:eastAsia="Calibri"/>
          <w:i w:val="0"/>
          <w:iCs w:val="0"/>
          <w:sz w:val="18"/>
          <w:szCs w:val="18"/>
        </w:rPr>
      </w:pPr>
      <w:r>
        <w:rPr>
          <w:rFonts w:eastAsia="Calibri"/>
          <w:i w:val="0"/>
          <w:iCs w:val="0"/>
          <w:sz w:val="18"/>
          <w:szCs w:val="18"/>
          <w:lang w:val="ru-RU"/>
        </w:rPr>
        <w:t xml:space="preserve">                                                                                                        Ф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ИО члена Профсоюза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 (полностью)</w:t>
      </w:r>
      <w:r>
        <w:rPr>
          <w:rFonts w:eastAsia="Calibri"/>
          <w:i w:val="0"/>
          <w:iCs w:val="0"/>
          <w:sz w:val="18"/>
          <w:szCs w:val="18"/>
        </w:rPr>
      </w:r>
    </w:p>
    <w:p>
      <w:pPr>
        <w:ind w:left="3912"/>
        <w:rPr>
          <w:b/>
          <w:bCs/>
          <w:lang w:val="ru-RU"/>
        </w:rPr>
      </w:pPr>
      <w:r>
        <w:rPr>
          <w:b/>
          <w:highlight w:val="none"/>
          <w:lang w:val="ru-RU"/>
        </w:rPr>
      </w:r>
      <w:r>
        <w:rPr>
          <w:b/>
          <w:highlight w:val="none"/>
          <w:lang w:val="ru-RU"/>
        </w:rPr>
      </w:r>
    </w:p>
    <w:p>
      <w:pPr>
        <w:ind w:left="3912"/>
        <w:rPr>
          <w:b/>
          <w:bCs/>
          <w:highlight w:val="none"/>
          <w:lang w:val="ru-RU"/>
        </w:rPr>
      </w:pPr>
      <w:r>
        <w:rPr>
          <w:b/>
          <w:lang w:val="ru-RU"/>
        </w:rPr>
        <w:t xml:space="preserve">ЗАЯВЛЕНИЕ</w:t>
      </w:r>
      <w:r>
        <w:rPr>
          <w:b/>
          <w:bCs/>
          <w:highlight w:val="none"/>
          <w:lang w:val="ru-RU"/>
        </w:rPr>
      </w:r>
    </w:p>
    <w:p>
      <w:pPr>
        <w:jc w:val="both"/>
        <w:spacing w:line="276" w:lineRule="auto"/>
        <w:rPr>
          <w:bCs/>
          <w:i/>
          <w:i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В соответствии с</w:t>
      </w:r>
      <w:r>
        <w:rPr>
          <w:bCs/>
          <w:sz w:val="20"/>
          <w:szCs w:val="20"/>
          <w:lang w:val="ru-RU"/>
        </w:rPr>
        <w:t xml:space="preserve"> пункт</w:t>
      </w:r>
      <w:r>
        <w:rPr>
          <w:bCs/>
          <w:sz w:val="20"/>
          <w:szCs w:val="20"/>
          <w:lang w:val="ru-RU"/>
        </w:rPr>
        <w:t xml:space="preserve">ом</w:t>
      </w:r>
      <w:r>
        <w:rPr>
          <w:bCs/>
          <w:sz w:val="20"/>
          <w:szCs w:val="20"/>
          <w:lang w:val="ru-RU"/>
        </w:rPr>
        <w:t xml:space="preserve"> 6.4</w:t>
      </w:r>
      <w:r>
        <w:rPr>
          <w:bCs/>
          <w:sz w:val="20"/>
          <w:szCs w:val="20"/>
          <w:lang w:val="ru-RU"/>
        </w:rPr>
        <w:t xml:space="preserve"> Положения о материальной помощи и других формах социальной поддержки членов Профсоюза Первичной профсоюзной организации Банка ВТБ (ПАО) МГО ПРГУ РФ</w:t>
      </w:r>
      <w:r>
        <w:rPr>
          <w:bCs/>
          <w:sz w:val="20"/>
          <w:szCs w:val="20"/>
          <w:lang w:val="ru-RU"/>
        </w:rPr>
        <w:t xml:space="preserve">, </w:t>
      </w:r>
      <w:r>
        <w:rPr>
          <w:bCs/>
          <w:sz w:val="20"/>
          <w:szCs w:val="20"/>
          <w:lang w:val="ru-RU"/>
        </w:rPr>
        <w:t xml:space="preserve">прошу оказать мне материальную помощь </w:t>
      </w:r>
      <w:r>
        <w:rPr>
          <w:b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  <w:t xml:space="preserve">в виде частичной компенсации стоимости </w:t>
      </w:r>
      <w:r>
        <w:rPr>
          <w:b/>
          <w:sz w:val="20"/>
          <w:szCs w:val="20"/>
          <w:lang w:val="ru-RU"/>
        </w:rPr>
        <w:t xml:space="preserve">путевки в санаторно-курортное учреждение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(пп. </w:t>
      </w:r>
      <w:r>
        <w:rPr>
          <w:bCs/>
          <w:sz w:val="20"/>
          <w:szCs w:val="20"/>
          <w:lang w:val="ru-RU"/>
        </w:rPr>
        <w:t xml:space="preserve">6</w:t>
      </w:r>
      <w:r>
        <w:rPr>
          <w:bCs/>
          <w:sz w:val="20"/>
          <w:szCs w:val="20"/>
          <w:lang w:val="ru-RU"/>
        </w:rPr>
        <w:t xml:space="preserve">.</w:t>
      </w:r>
      <w:r>
        <w:rPr>
          <w:bCs/>
          <w:sz w:val="20"/>
          <w:szCs w:val="20"/>
          <w:lang w:val="ru-RU"/>
        </w:rPr>
        <w:t xml:space="preserve">4</w:t>
      </w:r>
      <w:r>
        <w:rPr>
          <w:bCs/>
          <w:sz w:val="20"/>
          <w:szCs w:val="20"/>
          <w:lang w:val="ru-RU"/>
        </w:rPr>
        <w:t xml:space="preserve">.1)</w:t>
      </w:r>
      <w:r>
        <w:rPr>
          <w:bCs/>
          <w:sz w:val="20"/>
          <w:szCs w:val="20"/>
          <w:lang w:val="ru-RU"/>
        </w:rPr>
        <w:t xml:space="preserve"> / </w:t>
      </w:r>
      <w:r>
        <w:rPr>
          <w:b/>
          <w:sz w:val="20"/>
          <w:szCs w:val="20"/>
          <w:lang w:val="ru-RU"/>
        </w:rPr>
        <w:t xml:space="preserve">детский оздоровительный </w:t>
      </w:r>
      <w:r>
        <w:rPr>
          <w:b/>
          <w:sz w:val="20"/>
          <w:szCs w:val="20"/>
          <w:lang w:val="ru-RU"/>
        </w:rPr>
        <w:t xml:space="preserve">лагерь / детский оздоровительный лагерь санаторного типа круглогодичного действия</w:t>
      </w:r>
      <w:r>
        <w:rPr>
          <w:b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(пп. 6.4.2)</w:t>
      </w:r>
      <w:r>
        <w:rPr>
          <w:b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 xml:space="preserve">(</w:t>
      </w:r>
      <w:r>
        <w:rPr>
          <w:bCs/>
          <w:i/>
          <w:iCs/>
          <w:sz w:val="20"/>
          <w:szCs w:val="20"/>
          <w:lang w:val="ru-RU"/>
        </w:rPr>
        <w:t xml:space="preserve">выбрать подчеркнуть).</w:t>
      </w:r>
      <w:r/>
      <w:r>
        <w:rPr>
          <w:bCs/>
          <w:i/>
          <w:iCs/>
          <w:sz w:val="20"/>
          <w:szCs w:val="20"/>
          <w:lang w:val="ru-RU"/>
        </w:rPr>
      </w:r>
    </w:p>
    <w:p>
      <w:pPr>
        <w:spacing w:before="159" w:beforeAutospacing="0"/>
        <w:rPr>
          <w:bCs/>
          <w:i/>
          <w:iCs/>
          <w:sz w:val="18"/>
          <w:szCs w:val="18"/>
          <w:lang w:val="ru-RU"/>
        </w:rPr>
      </w:pPr>
      <w:r>
        <w:rPr>
          <w:bCs/>
          <w:i/>
          <w:iCs/>
          <w:sz w:val="20"/>
          <w:szCs w:val="20"/>
          <w:lang w:val="ru-RU"/>
        </w:rPr>
        <w:t xml:space="preserve">Приложени</w:t>
      </w:r>
      <w:r>
        <w:rPr>
          <w:bCs/>
          <w:i/>
          <w:iCs/>
          <w:sz w:val="20"/>
          <w:szCs w:val="20"/>
          <w:lang w:val="ru-RU"/>
        </w:rPr>
        <w:t xml:space="preserve">я </w:t>
      </w:r>
      <w:r>
        <w:rPr>
          <w:bCs/>
          <w:sz w:val="18"/>
          <w:szCs w:val="18"/>
          <w:lang w:val="ru-RU"/>
        </w:rPr>
        <w:t xml:space="preserve">(документы в соответствии с требованиями пп. 6.4.1</w:t>
      </w:r>
      <w:r>
        <w:rPr>
          <w:bCs/>
          <w:sz w:val="18"/>
          <w:szCs w:val="18"/>
          <w:lang w:val="ru-RU"/>
        </w:rPr>
        <w:t xml:space="preserve"> или 6.4.2</w:t>
      </w:r>
      <w:r>
        <w:rPr>
          <w:bCs/>
          <w:sz w:val="18"/>
          <w:szCs w:val="18"/>
          <w:lang w:val="ru-RU"/>
        </w:rPr>
        <w:t xml:space="preserve"> Положения):</w:t>
      </w:r>
      <w:r>
        <w:rPr>
          <w:bCs/>
          <w:i/>
          <w:iCs/>
          <w:sz w:val="18"/>
          <w:szCs w:val="18"/>
          <w:lang w:val="ru-RU"/>
        </w:rPr>
      </w:r>
      <w:r>
        <w:rPr>
          <w:bCs/>
          <w:i/>
          <w:iCs/>
          <w:sz w:val="18"/>
          <w:szCs w:val="18"/>
          <w:lang w:val="ru-RU"/>
        </w:rPr>
      </w:r>
    </w:p>
    <w:tbl>
      <w:tblPr>
        <w:tblStyle w:val="90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755"/>
      </w:tblGrid>
      <w:tr>
        <w:tblPrEx/>
        <w:trPr>
          <w:trHeight w:val="3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1.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3.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</w:tbl>
    <w:p>
      <w:pPr>
        <w:ind w:left="0" w:firstLine="0"/>
        <w:jc w:val="both"/>
        <w:spacing w:before="232" w:beforeAutospacing="0" w:after="136" w:afterAutospacing="0"/>
        <w:rPr>
          <w:bCs w:val="0"/>
          <w:i w:val="0"/>
          <w:sz w:val="18"/>
          <w:szCs w:val="18"/>
          <w:highlight w:val="none"/>
          <w:lang w:val="ru-RU"/>
        </w:rPr>
      </w:pP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Настоящим Заявлением даю согласие на проверку и обработку моих персональных данных, а именно: совершение действий, предусмотренных пунктом 3 части первой статьи 3 Федерального закона «О персональных данных» от 27.07.2006 № 152-ФЗ, со сведениями, указанными в настоящем Заявлении, 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с целью принятия решения об осуществлении выплаты материальной помощи и ее размере.</w:t>
      </w:r>
      <w:r>
        <w:rPr>
          <w:sz w:val="20"/>
          <w:szCs w:val="20"/>
        </w:rPr>
      </w:r>
      <w:r>
        <w:rPr>
          <w:bCs w:val="0"/>
          <w:i w:val="0"/>
          <w:sz w:val="18"/>
          <w:szCs w:val="18"/>
          <w:highlight w:val="none"/>
          <w:lang w:val="ru-RU"/>
        </w:rPr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3655"/>
      </w:tblGrid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215" w:beforeAutospacing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</w:t>
            </w:r>
            <w:r>
              <w:rPr>
                <w:sz w:val="18"/>
                <w:szCs w:val="18"/>
                <w:lang w:val="ru-RU"/>
              </w:rPr>
              <w:t xml:space="preserve">ата</w:t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</w:t>
            </w:r>
            <w:r>
              <w:rPr>
                <w:sz w:val="18"/>
                <w:szCs w:val="18"/>
                <w:lang w:val="ru-RU"/>
              </w:rPr>
              <w:t xml:space="preserve">одпись</w:t>
            </w: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spacing w:after="0" w:afterAutospacing="0"/>
        <w:rPr>
          <w:bCs/>
          <w:sz w:val="16"/>
          <w:szCs w:val="16"/>
        </w:rPr>
      </w:pPr>
      <w:r>
        <w:rPr>
          <w:bCs/>
          <w:sz w:val="16"/>
          <w:szCs w:val="16"/>
          <w:lang w:val="ru-RU"/>
        </w:rPr>
      </w:r>
      <w:r>
        <w:rPr>
          <w:bCs/>
          <w:sz w:val="16"/>
          <w:szCs w:val="16"/>
        </w:rPr>
      </w:r>
    </w:p>
    <w:tbl>
      <w:tblPr>
        <w:tblW w:w="101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4158"/>
        <w:gridCol w:w="3427"/>
      </w:tblGrid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Заполняется работником 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Аппарата Профкома</w:t>
            </w:r>
            <w:r>
              <w:rPr>
                <w:sz w:val="20"/>
                <w:szCs w:val="20"/>
                <w:u w:val="single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Профсоюзный стаж с _____________________________________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(дата приема в Профсоюз)</w:t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90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Номер профсоюзного билета ______________________________________________________</w:t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34"/>
        </w:trPr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spacing w:before="51" w:beforeAutospacing="0" w:after="0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Подтверждаю, что представленные документы дают право на предоставление материальной помощи.</w:t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2596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____________________</w:t>
            </w:r>
            <w:r>
              <w:rPr>
                <w:sz w:val="18"/>
                <w:szCs w:val="18"/>
                <w:lang w:val="ru-RU"/>
              </w:rPr>
              <w:t xml:space="preserve">_</w:t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подпись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158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</w:t>
            </w:r>
            <w:r>
              <w:rPr>
                <w:sz w:val="18"/>
                <w:szCs w:val="18"/>
                <w:lang w:val="ru-RU"/>
              </w:rPr>
              <w:t xml:space="preserve">__________</w:t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дата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3912"/>
        <w:jc w:val="right"/>
        <w:spacing w:before="0" w:after="0"/>
        <w:rPr>
          <w:b/>
          <w:sz w:val="16"/>
          <w:szCs w:val="16"/>
        </w:rPr>
      </w:pPr>
      <w:r>
        <w:rPr>
          <w:b/>
          <w:sz w:val="16"/>
          <w:szCs w:val="16"/>
          <w:lang w:val="ru-RU"/>
        </w:rPr>
      </w:r>
      <w:bookmarkEnd w:id="1"/>
      <w:r>
        <w:rPr>
          <w:b/>
          <w:sz w:val="16"/>
          <w:szCs w:val="16"/>
        </w:rPr>
      </w:r>
    </w:p>
    <w:tbl>
      <w:tblPr>
        <w:tblStyle w:val="908"/>
        <w:tblW w:w="101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81"/>
      </w:tblGrid>
      <w:tr>
        <w:tblPrEx/>
        <w:trPr/>
        <w:tc>
          <w:tcPr>
            <w:tcW w:w="10181" w:type="dxa"/>
            <w:textDirection w:val="lrTb"/>
            <w:noWrap w:val="false"/>
          </w:tcPr>
          <w:p>
            <w:pPr>
              <w:ind w:right="-170"/>
              <w:rPr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РЕШЕНИЕ ПРОФСОЮЗНОГО КОМИТЕТА</w:t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</w:p>
          <w:tbl>
            <w:tblPr>
              <w:tblStyle w:val="90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992"/>
              <w:gridCol w:w="4819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12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Оказать материальную помощь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в сумме</w:t>
                  </w:r>
                  <w:r/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1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932" w:type="dxa"/>
                  <w:textDirection w:val="lrTb"/>
                  <w:noWrap w:val="false"/>
                </w:tcPr>
                <w:p>
                  <w:pPr>
                    <w:spacing w:before="17" w:beforeAutospacing="0"/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  <w:t xml:space="preserve">                                                                                                                                    (цифрами и прописью)</w:t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113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19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highlight w:val="none"/>
                      <w:lang w:val="ru-RU"/>
                    </w:rPr>
                    <w:t xml:space="preserve">рублей, за счет членских профсоюзных взносов.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</w:tbl>
          <w:p>
            <w:pPr>
              <w:ind w:right="-170"/>
              <w:spacing w:before="2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Протокол от «_____» ________________ 20____ г.  № _______</w:t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spacing w:before="0" w:beforeAutospacing="0"/>
              <w:rPr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ППО Банка ВТБ (ПАО) _______________________ О.Н. Цветкова</w:t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spacing w:before="57" w:beforeAutospacing="0"/>
              <w:rPr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(подпись)</w:t>
            </w:r>
            <w:r>
              <w:rPr>
                <w:sz w:val="18"/>
                <w:szCs w:val="18"/>
                <w:highlight w:val="none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headerReference w:type="first" r:id="rId9"/>
      <w:footerReference w:type="first" r:id="rId10"/>
      <w:footnotePr/>
      <w:endnotePr/>
      <w:type w:val="continuous"/>
      <w:pgSz w:w="11910" w:h="16840" w:orient="portrait"/>
      <w:pgMar w:top="850" w:right="624" w:bottom="595" w:left="1162" w:header="720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right"/>
    </w:pPr>
    <w:r/>
    <w:r/>
  </w:p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right"/>
    </w:pPr>
    <w:r/>
    <w:r/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firstLine="2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3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4" w:hanging="794"/>
      </w:pPr>
      <w:rPr>
        <w:rFonts w:hint="default"/>
      </w:rPr>
    </w:lvl>
    <w:lvl w:ilvl="1">
      <w:start w:val="10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  <w:spacing w:val="-2"/>
        <w:sz w:val="22"/>
        <w:szCs w:val="2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43" w:hanging="36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3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31" w:hanging="1171"/>
      </w:pPr>
      <w:rPr>
        <w:rFonts w:hint="default" w:ascii="Wingdings" w:hAnsi="Wingdings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1" w:hanging="1171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5" w:hanging="775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7" w:hanging="38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09" w:hanging="207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340" w:firstLine="20"/>
      </w:pPr>
      <w:rPr>
        <w:rFonts w:hint="default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none"/>
      <w:isLgl w:val="false"/>
      <w:suff w:val="tab"/>
      <w:lvlText w:val="5."/>
      <w:lvlJc w:val="left"/>
      <w:pPr>
        <w:ind w:left="357" w:firstLine="0"/>
        <w:tabs>
          <w:tab w:val="num" w:pos="357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357" w:hanging="1215"/>
        <w:tabs>
          <w:tab w:val="num" w:pos="1357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5" w:hanging="1215"/>
        <w:tabs>
          <w:tab w:val="num" w:pos="261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15" w:hanging="1215"/>
        <w:tabs>
          <w:tab w:val="num" w:pos="331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15" w:hanging="1215"/>
        <w:tabs>
          <w:tab w:val="num" w:pos="401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5" w:hanging="1215"/>
        <w:tabs>
          <w:tab w:val="num" w:pos="47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  <w:tabs>
          <w:tab w:val="num" w:pos="56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  <w:tabs>
          <w:tab w:val="num" w:pos="63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  <w:tabs>
          <w:tab w:val="num" w:pos="7400" w:leader="none"/>
        </w:tabs>
      </w:pPr>
      <w:rPr>
        <w:rFonts w:hint="default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3" w:firstLine="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369" w:firstLine="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75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81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7" w:firstLine="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3" w:firstLine="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" w:firstLine="0"/>
      </w:pPr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357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714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071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1428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785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142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499" w:firstLine="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72"/>
  </w:num>
  <w:num w:numId="4">
    <w:abstractNumId w:val="14"/>
  </w:num>
  <w:num w:numId="5">
    <w:abstractNumId w:val="58"/>
  </w:num>
  <w:num w:numId="6">
    <w:abstractNumId w:val="69"/>
  </w:num>
  <w:num w:numId="7">
    <w:abstractNumId w:val="14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tab"/>
        <w:lvlText w:val="%1.%2."/>
        <w:lvlJc w:val="left"/>
        <w:pPr>
          <w:ind w:left="1080" w:hanging="7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tab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tab"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tab"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tab"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tab"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tab"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tab"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68"/>
  </w:num>
  <w:num w:numId="9">
    <w:abstractNumId w:val="18"/>
  </w:num>
  <w:num w:numId="10">
    <w:abstractNumId w:val="74"/>
  </w:num>
  <w:num w:numId="11">
    <w:abstractNumId w:val="59"/>
  </w:num>
  <w:num w:numId="12">
    <w:abstractNumId w:val="45"/>
  </w:num>
  <w:num w:numId="13">
    <w:abstractNumId w:val="83"/>
  </w:num>
  <w:num w:numId="14">
    <w:abstractNumId w:val="43"/>
  </w:num>
  <w:num w:numId="15">
    <w:abstractNumId w:val="56"/>
  </w:num>
  <w:num w:numId="16">
    <w:abstractNumId w:val="54"/>
  </w:num>
  <w:num w:numId="17">
    <w:abstractNumId w:val="37"/>
  </w:num>
  <w:num w:numId="18">
    <w:abstractNumId w:val="42"/>
  </w:num>
  <w:num w:numId="19">
    <w:abstractNumId w:val="19"/>
  </w:num>
  <w:num w:numId="20">
    <w:abstractNumId w:val="0"/>
  </w:num>
  <w:num w:numId="21">
    <w:abstractNumId w:val="13"/>
  </w:num>
  <w:num w:numId="22">
    <w:abstractNumId w:val="47"/>
  </w:num>
  <w:num w:numId="23">
    <w:abstractNumId w:val="40"/>
  </w:num>
  <w:num w:numId="24">
    <w:abstractNumId w:val="30"/>
  </w:num>
  <w:num w:numId="25">
    <w:abstractNumId w:val="70"/>
  </w:num>
  <w:num w:numId="26">
    <w:abstractNumId w:val="23"/>
  </w:num>
  <w:num w:numId="27">
    <w:abstractNumId w:val="5"/>
  </w:num>
  <w:num w:numId="28">
    <w:abstractNumId w:val="1"/>
  </w:num>
  <w:num w:numId="29">
    <w:abstractNumId w:val="12"/>
  </w:num>
  <w:num w:numId="30">
    <w:abstractNumId w:val="15"/>
  </w:num>
  <w:num w:numId="31">
    <w:abstractNumId w:val="77"/>
  </w:num>
  <w:num w:numId="32">
    <w:abstractNumId w:val="10"/>
  </w:num>
  <w:num w:numId="33">
    <w:abstractNumId w:val="2"/>
  </w:num>
  <w:num w:numId="34">
    <w:abstractNumId w:val="27"/>
  </w:num>
  <w:num w:numId="35">
    <w:abstractNumId w:val="44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360" w:hanging="360"/>
        </w:pPr>
        <w:rPr>
          <w:rFonts w:hint="default" w:ascii="Symbol" w:hAnsi="Symbo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36">
    <w:abstractNumId w:val="78"/>
  </w:num>
  <w:num w:numId="37">
    <w:abstractNumId w:val="87"/>
  </w:num>
  <w:num w:numId="38">
    <w:abstractNumId w:val="33"/>
  </w:num>
  <w:num w:numId="39">
    <w:abstractNumId w:val="11"/>
  </w:num>
  <w:num w:numId="40">
    <w:abstractNumId w:val="21"/>
  </w:num>
  <w:num w:numId="41">
    <w:abstractNumId w:val="55"/>
  </w:num>
  <w:num w:numId="42">
    <w:abstractNumId w:val="4"/>
  </w:num>
  <w:num w:numId="43">
    <w:abstractNumId w:val="51"/>
  </w:num>
  <w:num w:numId="44">
    <w:abstractNumId w:val="62"/>
  </w:num>
  <w:num w:numId="45">
    <w:abstractNumId w:val="48"/>
  </w:num>
  <w:num w:numId="46">
    <w:abstractNumId w:val="6"/>
  </w:num>
  <w:num w:numId="47">
    <w:abstractNumId w:val="20"/>
  </w:num>
  <w:num w:numId="48">
    <w:abstractNumId w:val="46"/>
  </w:num>
  <w:num w:numId="49">
    <w:abstractNumId w:val="29"/>
  </w:num>
  <w:num w:numId="50">
    <w:abstractNumId w:val="38"/>
  </w:num>
  <w:num w:numId="51">
    <w:abstractNumId w:val="64"/>
  </w:num>
  <w:num w:numId="52">
    <w:abstractNumId w:val="66"/>
  </w:num>
  <w:num w:numId="53">
    <w:abstractNumId w:val="28"/>
  </w:num>
  <w:num w:numId="54">
    <w:abstractNumId w:val="7"/>
  </w:num>
  <w:num w:numId="55">
    <w:abstractNumId w:val="57"/>
  </w:num>
  <w:num w:numId="56">
    <w:abstractNumId w:val="34"/>
  </w:num>
  <w:num w:numId="57">
    <w:abstractNumId w:val="8"/>
  </w:num>
  <w:num w:numId="58">
    <w:abstractNumId w:val="60"/>
  </w:num>
  <w:num w:numId="59">
    <w:abstractNumId w:val="9"/>
  </w:num>
  <w:num w:numId="60">
    <w:abstractNumId w:val="79"/>
  </w:num>
  <w:num w:numId="61">
    <w:abstractNumId w:val="41"/>
  </w:num>
  <w:num w:numId="62">
    <w:abstractNumId w:val="61"/>
  </w:num>
  <w:num w:numId="63">
    <w:abstractNumId w:val="84"/>
  </w:num>
  <w:num w:numId="64">
    <w:abstractNumId w:val="81"/>
  </w:num>
  <w:num w:numId="65">
    <w:abstractNumId w:val="65"/>
  </w:num>
  <w:num w:numId="66">
    <w:abstractNumId w:val="17"/>
  </w:num>
  <w:num w:numId="67">
    <w:abstractNumId w:val="73"/>
  </w:num>
  <w:num w:numId="68">
    <w:abstractNumId w:val="31"/>
  </w:num>
  <w:num w:numId="69">
    <w:abstractNumId w:val="39"/>
  </w:num>
  <w:num w:numId="70">
    <w:abstractNumId w:val="22"/>
  </w:num>
  <w:num w:numId="71">
    <w:abstractNumId w:val="36"/>
  </w:num>
  <w:num w:numId="72">
    <w:abstractNumId w:val="25"/>
  </w:num>
  <w:num w:numId="73">
    <w:abstractNumId w:val="86"/>
  </w:num>
  <w:num w:numId="74">
    <w:abstractNumId w:val="82"/>
  </w:num>
  <w:num w:numId="75">
    <w:abstractNumId w:val="49"/>
  </w:num>
  <w:num w:numId="76">
    <w:abstractNumId w:val="3"/>
  </w:num>
  <w:num w:numId="77">
    <w:abstractNumId w:val="76"/>
  </w:num>
  <w:num w:numId="78">
    <w:abstractNumId w:val="63"/>
  </w:num>
  <w:num w:numId="79">
    <w:abstractNumId w:val="67"/>
  </w:num>
  <w:num w:numId="80">
    <w:abstractNumId w:val="85"/>
  </w:num>
  <w:num w:numId="81">
    <w:abstractNumId w:val="75"/>
  </w:num>
  <w:num w:numId="82">
    <w:abstractNumId w:val="16"/>
  </w:num>
  <w:num w:numId="83">
    <w:abstractNumId w:val="24"/>
  </w:num>
  <w:num w:numId="84">
    <w:abstractNumId w:val="53"/>
  </w:num>
  <w:num w:numId="85">
    <w:abstractNumId w:val="52"/>
  </w:num>
  <w:num w:numId="86">
    <w:abstractNumId w:val="80"/>
  </w:num>
  <w:num w:numId="87">
    <w:abstractNumId w:val="71"/>
  </w:num>
  <w:num w:numId="88">
    <w:abstractNumId w:val="35"/>
  </w:num>
  <w:num w:numId="89">
    <w:abstractNumId w:val="26"/>
  </w:num>
  <w:num w:numId="90">
    <w:abstractNumId w:val="32"/>
  </w:num>
  <w:num w:numId="9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9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84"/>
    <w:link w:val="88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82"/>
    <w:next w:val="8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82"/>
    <w:next w:val="8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82"/>
    <w:next w:val="8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82"/>
    <w:next w:val="8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82"/>
    <w:next w:val="8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82"/>
    <w:next w:val="8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82"/>
    <w:next w:val="8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82"/>
    <w:next w:val="8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82"/>
    <w:next w:val="8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84"/>
    <w:link w:val="34"/>
    <w:uiPriority w:val="10"/>
    <w:rPr>
      <w:sz w:val="48"/>
      <w:szCs w:val="48"/>
    </w:rPr>
  </w:style>
  <w:style w:type="paragraph" w:styleId="36">
    <w:name w:val="Subtitle"/>
    <w:basedOn w:val="882"/>
    <w:next w:val="8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84"/>
    <w:link w:val="36"/>
    <w:uiPriority w:val="11"/>
    <w:rPr>
      <w:sz w:val="24"/>
      <w:szCs w:val="24"/>
    </w:rPr>
  </w:style>
  <w:style w:type="paragraph" w:styleId="38">
    <w:name w:val="Quote"/>
    <w:basedOn w:val="882"/>
    <w:next w:val="8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911"/>
    <w:uiPriority w:val="30"/>
    <w:rPr>
      <w:i/>
    </w:rPr>
  </w:style>
  <w:style w:type="character" w:styleId="43">
    <w:name w:val="Header Char"/>
    <w:basedOn w:val="884"/>
    <w:link w:val="891"/>
    <w:uiPriority w:val="99"/>
  </w:style>
  <w:style w:type="character" w:styleId="45">
    <w:name w:val="Footer Char"/>
    <w:basedOn w:val="884"/>
    <w:link w:val="893"/>
    <w:uiPriority w:val="99"/>
  </w:style>
  <w:style w:type="paragraph" w:styleId="46">
    <w:name w:val="Caption"/>
    <w:basedOn w:val="882"/>
    <w:next w:val="88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8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6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98"/>
    <w:uiPriority w:val="99"/>
    <w:rPr>
      <w:sz w:val="18"/>
    </w:rPr>
  </w:style>
  <w:style w:type="character" w:styleId="179">
    <w:name w:val="Endnote Text Char"/>
    <w:link w:val="895"/>
    <w:uiPriority w:val="99"/>
    <w:rPr>
      <w:sz w:val="20"/>
    </w:rPr>
  </w:style>
  <w:style w:type="paragraph" w:styleId="18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uiPriority w:val="1"/>
    <w:qFormat/>
    <w:rPr>
      <w:rFonts w:ascii="Arial" w:hAnsi="Arial" w:eastAsia="Arial" w:cs="Arial"/>
      <w:lang w:val="en-US"/>
    </w:rPr>
  </w:style>
  <w:style w:type="paragraph" w:styleId="883">
    <w:name w:val="Heading 1"/>
    <w:basedOn w:val="882"/>
    <w:next w:val="882"/>
    <w:link w:val="92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Body Text"/>
    <w:basedOn w:val="882"/>
    <w:link w:val="888"/>
    <w:uiPriority w:val="1"/>
    <w:qFormat/>
    <w:rPr>
      <w:sz w:val="20"/>
      <w:szCs w:val="20"/>
    </w:rPr>
  </w:style>
  <w:style w:type="character" w:styleId="888" w:customStyle="1">
    <w:name w:val="Основной текст Знак"/>
    <w:basedOn w:val="884"/>
    <w:link w:val="887"/>
    <w:uiPriority w:val="1"/>
    <w:rPr>
      <w:rFonts w:ascii="Arial" w:hAnsi="Arial" w:eastAsia="Arial" w:cs="Arial"/>
      <w:sz w:val="20"/>
      <w:szCs w:val="20"/>
      <w:lang w:val="en-US"/>
    </w:rPr>
  </w:style>
  <w:style w:type="paragraph" w:styleId="889" w:customStyle="1">
    <w:name w:val="Заголовок 11"/>
    <w:basedOn w:val="882"/>
    <w:uiPriority w:val="1"/>
    <w:qFormat/>
    <w:pPr>
      <w:ind w:left="2146"/>
      <w:outlineLvl w:val="1"/>
    </w:pPr>
    <w:rPr>
      <w:b/>
      <w:bCs/>
      <w:sz w:val="20"/>
      <w:szCs w:val="20"/>
    </w:rPr>
  </w:style>
  <w:style w:type="paragraph" w:styleId="890">
    <w:name w:val="List Paragraph"/>
    <w:basedOn w:val="882"/>
    <w:uiPriority w:val="1"/>
    <w:qFormat/>
    <w:pPr>
      <w:ind w:left="113" w:firstLine="720"/>
    </w:pPr>
  </w:style>
  <w:style w:type="paragraph" w:styleId="891">
    <w:name w:val="Header"/>
    <w:basedOn w:val="882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84"/>
    <w:link w:val="891"/>
    <w:uiPriority w:val="99"/>
    <w:rPr>
      <w:rFonts w:ascii="Arial" w:hAnsi="Arial" w:eastAsia="Arial" w:cs="Arial"/>
      <w:lang w:val="en-US"/>
    </w:rPr>
  </w:style>
  <w:style w:type="paragraph" w:styleId="893">
    <w:name w:val="Footer"/>
    <w:basedOn w:val="882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884"/>
    <w:link w:val="893"/>
    <w:uiPriority w:val="99"/>
    <w:rPr>
      <w:rFonts w:ascii="Arial" w:hAnsi="Arial" w:eastAsia="Arial" w:cs="Arial"/>
      <w:lang w:val="en-US"/>
    </w:rPr>
  </w:style>
  <w:style w:type="paragraph" w:styleId="895">
    <w:name w:val="endnote text"/>
    <w:basedOn w:val="882"/>
    <w:link w:val="896"/>
    <w:uiPriority w:val="99"/>
    <w:semiHidden/>
    <w:unhideWhenUsed/>
    <w:rPr>
      <w:sz w:val="20"/>
      <w:szCs w:val="20"/>
    </w:rPr>
  </w:style>
  <w:style w:type="character" w:styleId="896" w:customStyle="1">
    <w:name w:val="Текст концевой сноски Знак"/>
    <w:basedOn w:val="884"/>
    <w:link w:val="895"/>
    <w:uiPriority w:val="99"/>
    <w:semiHidden/>
    <w:rPr>
      <w:rFonts w:ascii="Arial" w:hAnsi="Arial" w:eastAsia="Arial" w:cs="Arial"/>
      <w:sz w:val="20"/>
      <w:szCs w:val="20"/>
      <w:lang w:val="en-US"/>
    </w:rPr>
  </w:style>
  <w:style w:type="character" w:styleId="897">
    <w:name w:val="endnote reference"/>
    <w:basedOn w:val="884"/>
    <w:uiPriority w:val="99"/>
    <w:semiHidden/>
    <w:unhideWhenUsed/>
    <w:rPr>
      <w:vertAlign w:val="superscript"/>
    </w:rPr>
  </w:style>
  <w:style w:type="paragraph" w:styleId="898">
    <w:name w:val="footnote text"/>
    <w:basedOn w:val="882"/>
    <w:link w:val="899"/>
    <w:uiPriority w:val="99"/>
    <w:unhideWhenUsed/>
    <w:rPr>
      <w:sz w:val="20"/>
      <w:szCs w:val="20"/>
    </w:rPr>
  </w:style>
  <w:style w:type="character" w:styleId="899" w:customStyle="1">
    <w:name w:val="Текст сноски Знак"/>
    <w:basedOn w:val="884"/>
    <w:link w:val="898"/>
    <w:uiPriority w:val="99"/>
    <w:rPr>
      <w:rFonts w:ascii="Arial" w:hAnsi="Arial" w:eastAsia="Arial" w:cs="Arial"/>
      <w:sz w:val="20"/>
      <w:szCs w:val="20"/>
      <w:lang w:val="en-US"/>
    </w:rPr>
  </w:style>
  <w:style w:type="character" w:styleId="900">
    <w:name w:val="footnote reference"/>
    <w:basedOn w:val="884"/>
    <w:uiPriority w:val="99"/>
    <w:semiHidden/>
    <w:unhideWhenUsed/>
    <w:rPr>
      <w:vertAlign w:val="superscript"/>
    </w:rPr>
  </w:style>
  <w:style w:type="character" w:styleId="901">
    <w:name w:val="annotation reference"/>
    <w:basedOn w:val="884"/>
    <w:uiPriority w:val="99"/>
    <w:semiHidden/>
    <w:unhideWhenUsed/>
    <w:rPr>
      <w:sz w:val="16"/>
      <w:szCs w:val="16"/>
    </w:rPr>
  </w:style>
  <w:style w:type="paragraph" w:styleId="902">
    <w:name w:val="annotation text"/>
    <w:basedOn w:val="882"/>
    <w:link w:val="903"/>
    <w:uiPriority w:val="99"/>
    <w:unhideWhenUsed/>
    <w:rPr>
      <w:sz w:val="20"/>
      <w:szCs w:val="20"/>
    </w:rPr>
  </w:style>
  <w:style w:type="character" w:styleId="903" w:customStyle="1">
    <w:name w:val="Текст примечания Знак"/>
    <w:basedOn w:val="884"/>
    <w:link w:val="902"/>
    <w:uiPriority w:val="99"/>
    <w:rPr>
      <w:rFonts w:ascii="Arial" w:hAnsi="Arial" w:eastAsia="Arial" w:cs="Arial"/>
      <w:sz w:val="20"/>
      <w:szCs w:val="20"/>
      <w:lang w:val="en-US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rFonts w:ascii="Arial" w:hAnsi="Arial" w:eastAsia="Arial" w:cs="Arial"/>
      <w:b/>
      <w:bCs/>
      <w:sz w:val="20"/>
      <w:szCs w:val="20"/>
      <w:lang w:val="en-US"/>
    </w:rPr>
  </w:style>
  <w:style w:type="paragraph" w:styleId="906">
    <w:name w:val="Balloon Text"/>
    <w:basedOn w:val="882"/>
    <w:link w:val="90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basedOn w:val="884"/>
    <w:link w:val="906"/>
    <w:uiPriority w:val="99"/>
    <w:semiHidden/>
    <w:rPr>
      <w:rFonts w:ascii="Segoe UI" w:hAnsi="Segoe UI" w:eastAsia="Arial" w:cs="Segoe UI"/>
      <w:sz w:val="18"/>
      <w:szCs w:val="18"/>
      <w:lang w:val="en-US"/>
    </w:rPr>
  </w:style>
  <w:style w:type="table" w:styleId="908">
    <w:name w:val="Table Grid"/>
    <w:basedOn w:val="885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No Spacing"/>
    <w:link w:val="910"/>
    <w:uiPriority w:val="1"/>
    <w:qFormat/>
    <w:pPr>
      <w:spacing w:after="0"/>
    </w:pPr>
    <w:rPr>
      <w:rFonts w:eastAsiaTheme="minorEastAsia"/>
      <w:lang w:eastAsia="ru-RU"/>
    </w:rPr>
  </w:style>
  <w:style w:type="character" w:styleId="910" w:customStyle="1">
    <w:name w:val="Без интервала Знак"/>
    <w:basedOn w:val="884"/>
    <w:link w:val="909"/>
    <w:uiPriority w:val="1"/>
    <w:rPr>
      <w:rFonts w:eastAsiaTheme="minorEastAsia"/>
      <w:lang w:eastAsia="ru-RU"/>
    </w:rPr>
  </w:style>
  <w:style w:type="paragraph" w:styleId="911">
    <w:name w:val="Intense Quote"/>
    <w:basedOn w:val="882"/>
    <w:next w:val="882"/>
    <w:link w:val="912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912" w:customStyle="1">
    <w:name w:val="Выделенная цитата Знак"/>
    <w:basedOn w:val="884"/>
    <w:link w:val="911"/>
    <w:uiPriority w:val="30"/>
    <w:rPr>
      <w:rFonts w:ascii="Arial" w:hAnsi="Arial" w:eastAsia="Arial" w:cs="Arial"/>
      <w:i/>
      <w:iCs/>
      <w:color w:val="4f81bd" w:themeColor="accent1"/>
      <w:lang w:val="en-US"/>
    </w:rPr>
  </w:style>
  <w:style w:type="character" w:styleId="913">
    <w:name w:val="Hyperlink"/>
    <w:basedOn w:val="884"/>
    <w:uiPriority w:val="99"/>
    <w:unhideWhenUsed/>
    <w:rPr>
      <w:color w:val="0000ff" w:themeColor="hyperlink"/>
      <w:u w:val="single"/>
    </w:rPr>
  </w:style>
  <w:style w:type="table" w:styleId="914">
    <w:name w:val="Plain Table 2"/>
    <w:basedOn w:val="885"/>
    <w:uiPriority w:val="4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915">
    <w:name w:val="Grid Table Light"/>
    <w:basedOn w:val="885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916">
    <w:name w:val="Grid Table 1 Light"/>
    <w:basedOn w:val="885"/>
    <w:uiPriority w:val="46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917">
    <w:name w:val="Grid Table 1 Light Accent 1"/>
    <w:basedOn w:val="885"/>
    <w:uiPriority w:val="46"/>
    <w:pPr>
      <w:spacing w:after="0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5B3D7" w:themeColor="accent1" w:themeTint="99" w:sz="2" w:space="0"/>
        </w:tcBorders>
      </w:tcPr>
    </w:tblStylePr>
  </w:style>
  <w:style w:type="paragraph" w:styleId="918">
    <w:name w:val="Normal (Web)"/>
    <w:basedOn w:val="882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919">
    <w:name w:val="Strong"/>
    <w:basedOn w:val="884"/>
    <w:uiPriority w:val="22"/>
    <w:qFormat/>
    <w:rPr>
      <w:b/>
      <w:bCs/>
    </w:rPr>
  </w:style>
  <w:style w:type="character" w:styleId="920">
    <w:name w:val="Intense Emphasis"/>
    <w:basedOn w:val="884"/>
    <w:uiPriority w:val="21"/>
    <w:qFormat/>
    <w:rPr>
      <w:i/>
      <w:iCs/>
      <w:color w:val="4f81bd" w:themeColor="accent1"/>
    </w:rPr>
  </w:style>
  <w:style w:type="character" w:styleId="921">
    <w:name w:val="Placeholder Text"/>
    <w:basedOn w:val="884"/>
    <w:uiPriority w:val="99"/>
    <w:semiHidden/>
    <w:rPr>
      <w:color w:val="808080"/>
    </w:rPr>
  </w:style>
  <w:style w:type="character" w:styleId="922">
    <w:name w:val="Unresolved Mention"/>
    <w:basedOn w:val="884"/>
    <w:uiPriority w:val="99"/>
    <w:semiHidden/>
    <w:unhideWhenUsed/>
    <w:rPr>
      <w:color w:val="605e5c"/>
      <w:shd w:val="clear" w:color="auto" w:fill="e1dfdd"/>
    </w:rPr>
  </w:style>
  <w:style w:type="paragraph" w:styleId="923">
    <w:name w:val="Body Text Indent"/>
    <w:basedOn w:val="882"/>
    <w:link w:val="924"/>
    <w:uiPriority w:val="99"/>
    <w:semiHidden/>
    <w:unhideWhenUsed/>
    <w:pPr>
      <w:ind w:left="283"/>
    </w:pPr>
  </w:style>
  <w:style w:type="character" w:styleId="924" w:customStyle="1">
    <w:name w:val="Основной текст с отступом Знак"/>
    <w:basedOn w:val="884"/>
    <w:link w:val="923"/>
    <w:uiPriority w:val="99"/>
    <w:semiHidden/>
    <w:rPr>
      <w:rFonts w:ascii="Arial" w:hAnsi="Arial" w:eastAsia="Arial" w:cs="Arial"/>
      <w:lang w:val="en-US"/>
    </w:rPr>
  </w:style>
  <w:style w:type="character" w:styleId="925" w:customStyle="1">
    <w:name w:val="Заголовок 1 Знак"/>
    <w:basedOn w:val="884"/>
    <w:link w:val="883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926">
    <w:name w:val="TOC Heading"/>
    <w:basedOn w:val="883"/>
    <w:next w:val="882"/>
    <w:uiPriority w:val="39"/>
    <w:unhideWhenUsed/>
    <w:qFormat/>
    <w:pPr>
      <w:spacing w:line="259" w:lineRule="auto"/>
      <w:outlineLvl w:val="9"/>
    </w:pPr>
    <w:rPr>
      <w:lang w:val="ru-RU" w:eastAsia="ru-RU"/>
    </w:rPr>
  </w:style>
  <w:style w:type="paragraph" w:styleId="927">
    <w:name w:val="toc 1"/>
    <w:basedOn w:val="882"/>
    <w:next w:val="882"/>
    <w:uiPriority w:val="39"/>
    <w:unhideWhenUsed/>
    <w:pPr>
      <w:spacing w:after="100"/>
    </w:pPr>
  </w:style>
  <w:style w:type="paragraph" w:styleId="928">
    <w:name w:val="toc 2"/>
    <w:basedOn w:val="882"/>
    <w:next w:val="882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EF49CC-6AF4-48F9-9330-0486B1A26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Общественная организация Первичная профсоюзная организация Банка ВТБ (ПАО)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материальной помощи и других формах социальной поддержки членов Профсоюза        ППО Банка ВТБ (ПАО) МГО ПРГУ РФ / Версия 2.0</dc:title>
  <dc:subject>ВЕРСИЯ 2.0</dc:subject>
  <dc:creator>В редакции Постановления Профсоюзного комитета от 29.02.2024 №</dc:creator>
  <cp:lastModifiedBy>olgan</cp:lastModifiedBy>
  <cp:revision>5</cp:revision>
  <dcterms:created xsi:type="dcterms:W3CDTF">2024-07-01T17:57:00Z</dcterms:created>
  <dcterms:modified xsi:type="dcterms:W3CDTF">2025-05-28T14:29:20Z</dcterms:modified>
</cp:coreProperties>
</file>